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1EE" w:rsidRPr="00E44C77" w:rsidRDefault="007651E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E44C77">
        <w:rPr>
          <w:rFonts w:ascii="Arial" w:hAnsi="Arial" w:cs="Arial"/>
          <w:b/>
          <w:sz w:val="32"/>
          <w:lang w:val="en-GB"/>
        </w:rPr>
        <w:t>Introduction</w:t>
      </w:r>
    </w:p>
    <w:p w:rsidR="007651EE" w:rsidRPr="00E44C77" w:rsidRDefault="007651EE">
      <w:pPr>
        <w:spacing w:before="720"/>
        <w:jc w:val="both"/>
        <w:rPr>
          <w:rFonts w:ascii="Arial" w:hAnsi="Arial"/>
          <w:lang w:val="en-GB"/>
        </w:rPr>
      </w:pPr>
      <w:r w:rsidRPr="00E44C77">
        <w:rPr>
          <w:rFonts w:ascii="Arial" w:hAnsi="Arial"/>
          <w:i/>
          <w:iCs/>
          <w:lang w:val="en-GB"/>
        </w:rPr>
        <w:t>The release is issued for the big users´ interest in the annual average data of Labour Force Sample Survey (LFSS) taken in the Czech Republic. It appears in the same structure as regular qua</w:t>
      </w:r>
      <w:r w:rsidR="007536BC" w:rsidRPr="00E44C77">
        <w:rPr>
          <w:rFonts w:ascii="Arial" w:hAnsi="Arial"/>
          <w:i/>
          <w:iCs/>
          <w:lang w:val="en-GB"/>
        </w:rPr>
        <w:t>r</w:t>
      </w:r>
      <w:r w:rsidR="00F35EC1" w:rsidRPr="00E44C77">
        <w:rPr>
          <w:rFonts w:ascii="Arial" w:hAnsi="Arial"/>
          <w:i/>
          <w:iCs/>
          <w:lang w:val="en-GB"/>
        </w:rPr>
        <w:t>terly LFSS publications (250129</w:t>
      </w:r>
      <w:r w:rsidR="00B2598C" w:rsidRPr="00E44C77">
        <w:rPr>
          <w:rFonts w:ascii="Arial" w:hAnsi="Arial"/>
          <w:i/>
          <w:iCs/>
          <w:lang w:val="en-GB"/>
        </w:rPr>
        <w:t>-1</w:t>
      </w:r>
      <w:r w:rsidR="0022292E" w:rsidRPr="00E44C77">
        <w:rPr>
          <w:rFonts w:ascii="Arial" w:hAnsi="Arial"/>
          <w:i/>
          <w:iCs/>
          <w:lang w:val="en-GB"/>
        </w:rPr>
        <w:t>5</w:t>
      </w:r>
      <w:r w:rsidRPr="00E44C77">
        <w:rPr>
          <w:rFonts w:ascii="Arial" w:hAnsi="Arial"/>
          <w:i/>
          <w:iCs/>
          <w:lang w:val="en-GB"/>
        </w:rPr>
        <w:t>) and informs the reader about the level and structure of employment, unemploy</w:t>
      </w:r>
      <w:r w:rsidRPr="00E44C77">
        <w:rPr>
          <w:rFonts w:ascii="Arial" w:hAnsi="Arial"/>
          <w:i/>
          <w:iCs/>
          <w:lang w:val="en-GB"/>
        </w:rPr>
        <w:softHyphen/>
        <w:t>ment and underemploy</w:t>
      </w:r>
      <w:r w:rsidRPr="00E44C77">
        <w:rPr>
          <w:rFonts w:ascii="Arial" w:hAnsi="Arial"/>
          <w:i/>
          <w:iCs/>
          <w:lang w:val="en-GB"/>
        </w:rPr>
        <w:softHyphen/>
        <w:t>m</w:t>
      </w:r>
      <w:r w:rsidR="007536BC" w:rsidRPr="00E44C77">
        <w:rPr>
          <w:rFonts w:ascii="Arial" w:hAnsi="Arial"/>
          <w:i/>
          <w:iCs/>
          <w:lang w:val="en-GB"/>
        </w:rPr>
        <w:t>e</w:t>
      </w:r>
      <w:r w:rsidR="00B2598C" w:rsidRPr="00E44C77">
        <w:rPr>
          <w:rFonts w:ascii="Arial" w:hAnsi="Arial"/>
          <w:i/>
          <w:iCs/>
          <w:lang w:val="en-GB"/>
        </w:rPr>
        <w:t>nt in the Czech Republic in 201</w:t>
      </w:r>
      <w:r w:rsidR="0022292E" w:rsidRPr="00E44C77">
        <w:rPr>
          <w:rFonts w:ascii="Arial" w:hAnsi="Arial"/>
          <w:i/>
          <w:iCs/>
          <w:lang w:val="en-GB"/>
        </w:rPr>
        <w:t>5</w:t>
      </w:r>
      <w:r w:rsidRPr="00E44C77">
        <w:rPr>
          <w:rFonts w:ascii="Arial" w:hAnsi="Arial"/>
          <w:i/>
          <w:iCs/>
          <w:lang w:val="en-GB"/>
        </w:rPr>
        <w:t xml:space="preserve"> as measured in compliance with international definitions and recommendations by the International Labour Organization (ILO). The definitions and content of all labour force survey indicators requested by Eurostat are fully applied and respected in the Czech Labour Force Sample Survey.</w:t>
      </w:r>
    </w:p>
    <w:p w:rsidR="007651EE" w:rsidRPr="00E44C77" w:rsidRDefault="007651E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E44C77">
        <w:rPr>
          <w:i/>
          <w:iCs/>
          <w:lang w:val="en-GB"/>
        </w:rPr>
        <w:t>As a rule, statistics provided by the LFSS are directly comparable with information on labour markets handed over to Eurostat by other EU Member States and other countries taking similar surveys. The methodology used is affected by specifics of national legislation and economic circumstanc</w:t>
      </w:r>
      <w:r w:rsidRPr="00E44C77">
        <w:rPr>
          <w:i/>
          <w:iCs/>
          <w:lang w:val="en-GB"/>
        </w:rPr>
        <w:softHyphen/>
        <w:t>es of a</w:t>
      </w:r>
      <w:r w:rsidR="0074043B" w:rsidRPr="00E44C77">
        <w:rPr>
          <w:i/>
          <w:iCs/>
          <w:lang w:val="en-GB"/>
        </w:rPr>
        <w:t> </w:t>
      </w:r>
      <w:r w:rsidRPr="00E44C77">
        <w:rPr>
          <w:i/>
          <w:iCs/>
          <w:lang w:val="en-GB"/>
        </w:rPr>
        <w:t>particular country to a minimum. For these reasons, results obtained according to the methodology and recommendations of ILO can be taken for an unbiased tool to assess the level of labour markets in all countries which adopted this methodology.</w:t>
      </w:r>
    </w:p>
    <w:p w:rsidR="007651EE" w:rsidRPr="00E44C7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E44C77">
        <w:rPr>
          <w:rFonts w:ascii="Arial" w:hAnsi="Arial" w:cs="Arial"/>
          <w:i/>
          <w:iCs/>
          <w:lang w:val="en-GB"/>
        </w:rPr>
        <w:t xml:space="preserve">Compared to common reporting, the Labour Force Sample Survey makes it possible to measure </w:t>
      </w:r>
      <w:r w:rsidRPr="00E44C77">
        <w:rPr>
          <w:rFonts w:ascii="Arial" w:hAnsi="Arial" w:cs="Arial"/>
          <w:b/>
          <w:i/>
          <w:iCs/>
          <w:lang w:val="en-GB"/>
        </w:rPr>
        <w:t>employment</w:t>
      </w:r>
      <w:r w:rsidRPr="00E44C77">
        <w:rPr>
          <w:rFonts w:ascii="Arial" w:hAnsi="Arial" w:cs="Arial"/>
          <w:i/>
          <w:iCs/>
          <w:lang w:val="en-GB"/>
        </w:rPr>
        <w:t xml:space="preserve"> in organizations and companies, including activities of self</w:t>
      </w:r>
      <w:r w:rsidRPr="00E44C77">
        <w:rPr>
          <w:rFonts w:ascii="Arial" w:hAnsi="Arial" w:cs="Arial"/>
          <w:i/>
          <w:iCs/>
          <w:lang w:val="en-GB"/>
        </w:rPr>
        <w:noBreakHyphen/>
        <w:t>employed persons in business according to the trade licensing act and other regulations. It identi</w:t>
      </w:r>
      <w:r w:rsidRPr="00E44C77">
        <w:rPr>
          <w:rFonts w:ascii="Arial" w:hAnsi="Arial" w:cs="Arial"/>
          <w:i/>
          <w:iCs/>
          <w:lang w:val="en-GB"/>
        </w:rPr>
        <w:softHyphen/>
        <w:t xml:space="preserve">fies the latest pattern of employment by sex, age, qualification, industry, and respondents' employment status. It provides data on hours worked, scope of underemployment, multiple jobs and labour force mobility, as well as on </w:t>
      </w:r>
      <w:r w:rsidRPr="00E44C77">
        <w:rPr>
          <w:rFonts w:ascii="Arial" w:hAnsi="Arial" w:cs="Arial"/>
          <w:b/>
          <w:i/>
          <w:iCs/>
          <w:lang w:val="en-GB"/>
        </w:rPr>
        <w:t>total unemployment</w:t>
      </w:r>
      <w:r w:rsidRPr="00E44C77">
        <w:rPr>
          <w:rFonts w:ascii="Arial" w:hAnsi="Arial" w:cs="Arial"/>
          <w:i/>
          <w:iCs/>
          <w:lang w:val="en-GB"/>
        </w:rPr>
        <w:t>, unemployment pattern, structure of unem</w:t>
      </w:r>
      <w:r w:rsidRPr="00E44C77">
        <w:rPr>
          <w:rFonts w:ascii="Arial" w:hAnsi="Arial" w:cs="Arial"/>
          <w:i/>
          <w:iCs/>
          <w:lang w:val="en-GB"/>
        </w:rPr>
        <w:softHyphen/>
        <w:t>ployed persons in terms of social, professional and qualification characteristics, length of unemploy</w:t>
      </w:r>
      <w:r w:rsidRPr="00E44C77">
        <w:rPr>
          <w:rFonts w:ascii="Arial" w:hAnsi="Arial" w:cs="Arial"/>
          <w:i/>
          <w:iCs/>
          <w:lang w:val="en-GB"/>
        </w:rPr>
        <w:softHyphen/>
        <w:t>ment, etc. - all this in the territorial cross-section, too.</w:t>
      </w:r>
    </w:p>
    <w:p w:rsidR="007651EE" w:rsidRPr="00E44C7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E44C77">
        <w:rPr>
          <w:rFonts w:ascii="Arial" w:hAnsi="Arial" w:cs="Arial"/>
          <w:i/>
          <w:iCs/>
          <w:lang w:val="en-GB"/>
        </w:rPr>
        <w:t xml:space="preserve">Together with information on population not economically active, data on general employment and unemployment allow to quantify the level and structure of </w:t>
      </w:r>
      <w:r w:rsidRPr="00E44C77">
        <w:rPr>
          <w:rFonts w:ascii="Arial" w:hAnsi="Arial" w:cs="Arial"/>
          <w:b/>
          <w:i/>
          <w:iCs/>
          <w:lang w:val="en-GB"/>
        </w:rPr>
        <w:t>labour force</w:t>
      </w:r>
      <w:r w:rsidRPr="00E44C77">
        <w:rPr>
          <w:rFonts w:ascii="Arial" w:hAnsi="Arial" w:cs="Arial"/>
          <w:i/>
          <w:iCs/>
          <w:lang w:val="en-GB"/>
        </w:rPr>
        <w:t xml:space="preserve"> currently available and estimate its development in the future. Combining various issues of </w:t>
      </w:r>
      <w:r w:rsidRPr="00E44C77">
        <w:rPr>
          <w:rFonts w:ascii="Arial" w:hAnsi="Arial" w:cs="Arial"/>
          <w:b/>
          <w:i/>
          <w:iCs/>
          <w:lang w:val="en-GB"/>
        </w:rPr>
        <w:t>social and demographic characteris</w:t>
      </w:r>
      <w:r w:rsidRPr="00E44C77">
        <w:rPr>
          <w:rFonts w:ascii="Arial" w:hAnsi="Arial" w:cs="Arial"/>
          <w:b/>
          <w:i/>
          <w:iCs/>
          <w:lang w:val="en-GB"/>
        </w:rPr>
        <w:softHyphen/>
        <w:t>tics</w:t>
      </w:r>
      <w:r w:rsidRPr="00E44C77">
        <w:rPr>
          <w:rFonts w:ascii="Arial" w:hAnsi="Arial" w:cs="Arial"/>
          <w:i/>
          <w:iCs/>
          <w:lang w:val="en-GB"/>
        </w:rPr>
        <w:t xml:space="preserve"> of respondents and their households yields a multitude of data needed by institutions responsi</w:t>
      </w:r>
      <w:r w:rsidRPr="00E44C77">
        <w:rPr>
          <w:rFonts w:ascii="Arial" w:hAnsi="Arial" w:cs="Arial"/>
          <w:i/>
          <w:iCs/>
          <w:lang w:val="en-GB"/>
        </w:rPr>
        <w:softHyphen/>
        <w:t xml:space="preserve">ble for making social and </w:t>
      </w:r>
      <w:r w:rsidR="007536BC" w:rsidRPr="00E44C77">
        <w:rPr>
          <w:rFonts w:ascii="Arial" w:hAnsi="Arial" w:cs="Arial"/>
          <w:i/>
          <w:iCs/>
          <w:lang w:val="en-GB"/>
        </w:rPr>
        <w:t>economy</w:t>
      </w:r>
      <w:r w:rsidRPr="00E44C77">
        <w:rPr>
          <w:rFonts w:ascii="Arial" w:hAnsi="Arial" w:cs="Arial"/>
          <w:i/>
          <w:iCs/>
          <w:lang w:val="en-GB"/>
        </w:rPr>
        <w:t xml:space="preserve"> policies.</w:t>
      </w:r>
    </w:p>
    <w:p w:rsidR="00337F32" w:rsidRPr="00E44C77" w:rsidRDefault="007651EE" w:rsidP="00765B17">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E44C77">
        <w:rPr>
          <w:i/>
          <w:iCs/>
          <w:lang w:val="en-GB"/>
        </w:rPr>
        <w:t>The LFSS regularly provides indicators constructed on the basis of ILO international definitions as a</w:t>
      </w:r>
      <w:r w:rsidR="0074043B" w:rsidRPr="00E44C77">
        <w:rPr>
          <w:i/>
          <w:iCs/>
          <w:lang w:val="en-GB"/>
        </w:rPr>
        <w:t> </w:t>
      </w:r>
      <w:r w:rsidRPr="00E44C77">
        <w:rPr>
          <w:i/>
          <w:iCs/>
          <w:lang w:val="en-GB"/>
        </w:rPr>
        <w:t>supplement to the regular informa</w:t>
      </w:r>
      <w:r w:rsidRPr="00E44C77">
        <w:rPr>
          <w:i/>
          <w:iCs/>
          <w:lang w:val="en-GB"/>
        </w:rPr>
        <w:softHyphen/>
        <w:t xml:space="preserve">tion of the Ministry of Labour and Social Affairs on trends in the labour market and on the implementation of active employment policy. In line with the ongoing harmonisation of the LFSS contents with the EU standard, the LFSS questionnaire is continuously modified and so </w:t>
      </w:r>
      <w:r w:rsidR="0059376C" w:rsidRPr="00E44C77">
        <w:rPr>
          <w:i/>
          <w:iCs/>
          <w:lang w:val="en-GB"/>
        </w:rPr>
        <w:t>are</w:t>
      </w:r>
      <w:r w:rsidRPr="00E44C77">
        <w:rPr>
          <w:i/>
          <w:iCs/>
          <w:lang w:val="en-GB"/>
        </w:rPr>
        <w:t xml:space="preserve"> the structure and the scope of the statistics provided.</w:t>
      </w:r>
    </w:p>
    <w:p w:rsidR="007651EE" w:rsidRPr="00E44C77" w:rsidRDefault="007651EE">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lang w:val="en-GB"/>
        </w:rPr>
      </w:pPr>
    </w:p>
    <w:sectPr w:rsidR="007651EE" w:rsidRPr="00E44C77">
      <w:footerReference w:type="even" r:id="rId7"/>
      <w:footerReference w:type="default" r:id="rId8"/>
      <w:endnotePr>
        <w:numFmt w:val="decimal"/>
      </w:endnotePr>
      <w:type w:val="continuous"/>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43A" w:rsidRDefault="0034543A">
      <w:r>
        <w:separator/>
      </w:r>
    </w:p>
  </w:endnote>
  <w:endnote w:type="continuationSeparator" w:id="0">
    <w:p w:rsidR="0034543A" w:rsidRDefault="00345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F1" w:rsidRDefault="002322F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49" style="position:absolute;left:0;text-align:left;z-index:1;mso-position-horizontal-relative:margin" from="0,8.25pt" to="450pt,8.25pt" strokeweight=".96pt">
          <w10:wrap anchorx="margin"/>
        </v:line>
      </w:pict>
    </w:r>
    <w:r>
      <w:rPr>
        <w:rStyle w:val="slostrnky"/>
        <w:rFonts w:ascii="Arial" w:hAnsi="Arial" w:cs="Arial"/>
        <w:sz w:val="18"/>
      </w:rPr>
      <w:tab/>
    </w:r>
    <w:r w:rsidR="007B1986">
      <w:rPr>
        <w:rFonts w:ascii="Arial" w:hAnsi="Arial" w:cs="Arial"/>
        <w:sz w:val="18"/>
        <w:lang w:val="en-GB"/>
      </w:rPr>
      <w:t>Averages of the year</w:t>
    </w:r>
    <w:r w:rsidR="007B1986">
      <w:rPr>
        <w:rFonts w:ascii="Arial" w:hAnsi="Arial" w:cs="Arial"/>
        <w:sz w:val="18"/>
      </w:rPr>
      <w:t xml:space="preserve"> 201</w:t>
    </w:r>
    <w:r w:rsidR="009244AB">
      <w:rPr>
        <w:rFonts w:ascii="Arial" w:hAnsi="Arial" w:cs="Arial"/>
        <w:sz w:val="18"/>
      </w:rPr>
      <w:t>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F1" w:rsidRDefault="002322F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50" style="position:absolute;left:0;text-align:left;z-index:2;mso-position-horizontal-relative:margin" from="0,8.25pt" to="450pt,8.25pt" strokeweight=".96pt">
          <w10:wrap anchorx="margin"/>
        </v:line>
      </w:pict>
    </w:r>
    <w:r>
      <w:rPr>
        <w:rFonts w:ascii="Arial" w:hAnsi="Arial" w:cs="Arial"/>
        <w:sz w:val="18"/>
        <w:lang w:val="en-GB"/>
      </w:rPr>
      <w:t xml:space="preserve"> Averages of the year</w:t>
    </w:r>
    <w:r w:rsidR="001B5871">
      <w:rPr>
        <w:rFonts w:ascii="Arial" w:hAnsi="Arial" w:cs="Arial"/>
        <w:sz w:val="18"/>
      </w:rPr>
      <w:t xml:space="preserve"> 201</w:t>
    </w:r>
    <w:r w:rsidR="009244AB">
      <w:rPr>
        <w:rFonts w:ascii="Arial" w:hAnsi="Arial" w:cs="Arial"/>
        <w:sz w:val="18"/>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43A" w:rsidRDefault="0034543A">
      <w:r>
        <w:separator/>
      </w:r>
    </w:p>
  </w:footnote>
  <w:footnote w:type="continuationSeparator" w:id="0">
    <w:p w:rsidR="0034543A" w:rsidRDefault="00345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8">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6"/>
  </w:num>
  <w:num w:numId="2">
    <w:abstractNumId w:val="13"/>
  </w:num>
  <w:num w:numId="3">
    <w:abstractNumId w:val="31"/>
  </w:num>
  <w:num w:numId="4">
    <w:abstractNumId w:val="14"/>
  </w:num>
  <w:num w:numId="5">
    <w:abstractNumId w:val="3"/>
  </w:num>
  <w:num w:numId="6">
    <w:abstractNumId w:val="24"/>
  </w:num>
  <w:num w:numId="7">
    <w:abstractNumId w:val="10"/>
  </w:num>
  <w:num w:numId="8">
    <w:abstractNumId w:val="1"/>
  </w:num>
  <w:num w:numId="9">
    <w:abstractNumId w:val="7"/>
  </w:num>
  <w:num w:numId="10">
    <w:abstractNumId w:val="8"/>
  </w:num>
  <w:num w:numId="11">
    <w:abstractNumId w:val="32"/>
  </w:num>
  <w:num w:numId="12">
    <w:abstractNumId w:val="2"/>
  </w:num>
  <w:num w:numId="13">
    <w:abstractNumId w:val="33"/>
  </w:num>
  <w:num w:numId="14">
    <w:abstractNumId w:val="19"/>
  </w:num>
  <w:num w:numId="15">
    <w:abstractNumId w:val="16"/>
  </w:num>
  <w:num w:numId="16">
    <w:abstractNumId w:val="35"/>
  </w:num>
  <w:num w:numId="17">
    <w:abstractNumId w:val="18"/>
  </w:num>
  <w:num w:numId="18">
    <w:abstractNumId w:val="11"/>
  </w:num>
  <w:num w:numId="19">
    <w:abstractNumId w:val="22"/>
  </w:num>
  <w:num w:numId="20">
    <w:abstractNumId w:val="27"/>
  </w:num>
  <w:num w:numId="21">
    <w:abstractNumId w:val="9"/>
  </w:num>
  <w:num w:numId="22">
    <w:abstractNumId w:val="4"/>
  </w:num>
  <w:num w:numId="23">
    <w:abstractNumId w:val="20"/>
  </w:num>
  <w:num w:numId="24">
    <w:abstractNumId w:val="30"/>
  </w:num>
  <w:num w:numId="25">
    <w:abstractNumId w:val="23"/>
  </w:num>
  <w:num w:numId="26">
    <w:abstractNumId w:val="6"/>
  </w:num>
  <w:num w:numId="27">
    <w:abstractNumId w:val="25"/>
  </w:num>
  <w:num w:numId="28">
    <w:abstractNumId w:val="15"/>
  </w:num>
  <w:num w:numId="29">
    <w:abstractNumId w:val="34"/>
  </w:num>
  <w:num w:numId="30">
    <w:abstractNumId w:val="0"/>
  </w:num>
  <w:num w:numId="31">
    <w:abstractNumId w:val="5"/>
  </w:num>
  <w:num w:numId="32">
    <w:abstractNumId w:val="12"/>
  </w:num>
  <w:num w:numId="33">
    <w:abstractNumId w:val="28"/>
  </w:num>
  <w:num w:numId="34">
    <w:abstractNumId w:val="29"/>
  </w:num>
  <w:num w:numId="35">
    <w:abstractNumId w:val="21"/>
  </w:num>
  <w:num w:numId="36">
    <w:abstractNumId w:val="17"/>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fillcolor="#eee">
      <v:fill color="#eee"/>
      <v:stroke weight="0"/>
    </o:shapedefaults>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2BCA"/>
    <w:rsid w:val="00037C78"/>
    <w:rsid w:val="0005645E"/>
    <w:rsid w:val="00064FA5"/>
    <w:rsid w:val="00067D9C"/>
    <w:rsid w:val="00072D30"/>
    <w:rsid w:val="00094EF4"/>
    <w:rsid w:val="000970B2"/>
    <w:rsid w:val="000D0DFF"/>
    <w:rsid w:val="000F4D0E"/>
    <w:rsid w:val="000F6508"/>
    <w:rsid w:val="00111C18"/>
    <w:rsid w:val="00121EBC"/>
    <w:rsid w:val="00154BB9"/>
    <w:rsid w:val="001778C0"/>
    <w:rsid w:val="0019202C"/>
    <w:rsid w:val="001B5871"/>
    <w:rsid w:val="001B6D87"/>
    <w:rsid w:val="002066B5"/>
    <w:rsid w:val="00211D45"/>
    <w:rsid w:val="0022292E"/>
    <w:rsid w:val="002322F1"/>
    <w:rsid w:val="00235CA7"/>
    <w:rsid w:val="002705C0"/>
    <w:rsid w:val="0029134C"/>
    <w:rsid w:val="00296C04"/>
    <w:rsid w:val="002A52DF"/>
    <w:rsid w:val="002A7542"/>
    <w:rsid w:val="002C71F5"/>
    <w:rsid w:val="002D4396"/>
    <w:rsid w:val="002E2059"/>
    <w:rsid w:val="002E7FF8"/>
    <w:rsid w:val="00322DDB"/>
    <w:rsid w:val="003312E1"/>
    <w:rsid w:val="00333619"/>
    <w:rsid w:val="003340F4"/>
    <w:rsid w:val="00337F32"/>
    <w:rsid w:val="00342A3B"/>
    <w:rsid w:val="0034543A"/>
    <w:rsid w:val="00363981"/>
    <w:rsid w:val="003927E0"/>
    <w:rsid w:val="00392A8D"/>
    <w:rsid w:val="003A346B"/>
    <w:rsid w:val="003A7667"/>
    <w:rsid w:val="003B7DE1"/>
    <w:rsid w:val="003E01B0"/>
    <w:rsid w:val="003E3556"/>
    <w:rsid w:val="00400B6D"/>
    <w:rsid w:val="00406557"/>
    <w:rsid w:val="00410F86"/>
    <w:rsid w:val="0041504C"/>
    <w:rsid w:val="00432227"/>
    <w:rsid w:val="00436016"/>
    <w:rsid w:val="0045052A"/>
    <w:rsid w:val="004779F5"/>
    <w:rsid w:val="00484B46"/>
    <w:rsid w:val="00487970"/>
    <w:rsid w:val="004B2B09"/>
    <w:rsid w:val="004C2772"/>
    <w:rsid w:val="004F7C28"/>
    <w:rsid w:val="005105F9"/>
    <w:rsid w:val="005310EF"/>
    <w:rsid w:val="005458B1"/>
    <w:rsid w:val="0057225A"/>
    <w:rsid w:val="0059376C"/>
    <w:rsid w:val="00594317"/>
    <w:rsid w:val="00597B29"/>
    <w:rsid w:val="005D04CA"/>
    <w:rsid w:val="005D16D8"/>
    <w:rsid w:val="005D255A"/>
    <w:rsid w:val="005E175E"/>
    <w:rsid w:val="005E7CE3"/>
    <w:rsid w:val="005F2FD6"/>
    <w:rsid w:val="00614ACD"/>
    <w:rsid w:val="00622FB1"/>
    <w:rsid w:val="006A464D"/>
    <w:rsid w:val="006D3215"/>
    <w:rsid w:val="006E57A2"/>
    <w:rsid w:val="006F3585"/>
    <w:rsid w:val="00701E10"/>
    <w:rsid w:val="00702AEF"/>
    <w:rsid w:val="00720B41"/>
    <w:rsid w:val="0072105B"/>
    <w:rsid w:val="00725BC8"/>
    <w:rsid w:val="00734322"/>
    <w:rsid w:val="0074043B"/>
    <w:rsid w:val="00747060"/>
    <w:rsid w:val="00750C1A"/>
    <w:rsid w:val="007536BC"/>
    <w:rsid w:val="00757C13"/>
    <w:rsid w:val="007651EE"/>
    <w:rsid w:val="00765AA0"/>
    <w:rsid w:val="00765B17"/>
    <w:rsid w:val="00766BB1"/>
    <w:rsid w:val="007B1986"/>
    <w:rsid w:val="007E5DC2"/>
    <w:rsid w:val="007F69FC"/>
    <w:rsid w:val="007F7476"/>
    <w:rsid w:val="00814B30"/>
    <w:rsid w:val="00815CE1"/>
    <w:rsid w:val="00843E4B"/>
    <w:rsid w:val="0086140B"/>
    <w:rsid w:val="00870156"/>
    <w:rsid w:val="00885E39"/>
    <w:rsid w:val="008A1C36"/>
    <w:rsid w:val="008B5185"/>
    <w:rsid w:val="008C5C8B"/>
    <w:rsid w:val="008F33E3"/>
    <w:rsid w:val="009244AB"/>
    <w:rsid w:val="0092789E"/>
    <w:rsid w:val="00937DA8"/>
    <w:rsid w:val="009500ED"/>
    <w:rsid w:val="00953F58"/>
    <w:rsid w:val="009553CF"/>
    <w:rsid w:val="0096197B"/>
    <w:rsid w:val="009666DF"/>
    <w:rsid w:val="00972152"/>
    <w:rsid w:val="009811D0"/>
    <w:rsid w:val="009A3EE6"/>
    <w:rsid w:val="009B34D4"/>
    <w:rsid w:val="009C0FA9"/>
    <w:rsid w:val="009D6F73"/>
    <w:rsid w:val="009F7580"/>
    <w:rsid w:val="00A125D1"/>
    <w:rsid w:val="00A21736"/>
    <w:rsid w:val="00A276D2"/>
    <w:rsid w:val="00A34946"/>
    <w:rsid w:val="00A36189"/>
    <w:rsid w:val="00A52517"/>
    <w:rsid w:val="00A73347"/>
    <w:rsid w:val="00A86F3A"/>
    <w:rsid w:val="00AA5CB6"/>
    <w:rsid w:val="00AB70D5"/>
    <w:rsid w:val="00AD5307"/>
    <w:rsid w:val="00AE073D"/>
    <w:rsid w:val="00B01345"/>
    <w:rsid w:val="00B07177"/>
    <w:rsid w:val="00B14606"/>
    <w:rsid w:val="00B20C00"/>
    <w:rsid w:val="00B2598C"/>
    <w:rsid w:val="00B40D70"/>
    <w:rsid w:val="00B567AD"/>
    <w:rsid w:val="00B72E5D"/>
    <w:rsid w:val="00B96C4B"/>
    <w:rsid w:val="00BA19B2"/>
    <w:rsid w:val="00BB4E49"/>
    <w:rsid w:val="00BD086D"/>
    <w:rsid w:val="00BE5B18"/>
    <w:rsid w:val="00C0063A"/>
    <w:rsid w:val="00C1018A"/>
    <w:rsid w:val="00C1614B"/>
    <w:rsid w:val="00C2323E"/>
    <w:rsid w:val="00C3626F"/>
    <w:rsid w:val="00C75AD6"/>
    <w:rsid w:val="00C82B3A"/>
    <w:rsid w:val="00CC38C3"/>
    <w:rsid w:val="00CD60C5"/>
    <w:rsid w:val="00CE0EE7"/>
    <w:rsid w:val="00CE353F"/>
    <w:rsid w:val="00D3437C"/>
    <w:rsid w:val="00D43E3D"/>
    <w:rsid w:val="00D6182E"/>
    <w:rsid w:val="00D7197B"/>
    <w:rsid w:val="00D82069"/>
    <w:rsid w:val="00D91DC9"/>
    <w:rsid w:val="00D94C4A"/>
    <w:rsid w:val="00DB0E87"/>
    <w:rsid w:val="00DC6C09"/>
    <w:rsid w:val="00DE01A8"/>
    <w:rsid w:val="00DE343E"/>
    <w:rsid w:val="00DF2B15"/>
    <w:rsid w:val="00E22270"/>
    <w:rsid w:val="00E34D91"/>
    <w:rsid w:val="00E365AA"/>
    <w:rsid w:val="00E44C77"/>
    <w:rsid w:val="00EA604E"/>
    <w:rsid w:val="00EE7322"/>
    <w:rsid w:val="00F32BCA"/>
    <w:rsid w:val="00F35EC1"/>
    <w:rsid w:val="00F57FCC"/>
    <w:rsid w:val="00F9775E"/>
    <w:rsid w:val="00FA4ADA"/>
    <w:rsid w:val="00FC2BCC"/>
    <w:rsid w:val="00FC3F01"/>
    <w:rsid w:val="00FF4DD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eee">
      <v:fill color="#eee"/>
      <v:stroke weight="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lang w:val="en-US"/>
    </w:rPr>
  </w:style>
  <w:style w:type="paragraph" w:styleId="Nadpis1">
    <w:name w:val="heading 1"/>
    <w:basedOn w:val="Normln"/>
    <w:next w:val="Normln"/>
    <w:qFormat/>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pPr>
      <w:keepNext/>
      <w:spacing w:line="218" w:lineRule="auto"/>
      <w:jc w:val="center"/>
      <w:outlineLvl w:val="1"/>
    </w:pPr>
    <w:rPr>
      <w:b/>
      <w:sz w:val="40"/>
    </w:rPr>
  </w:style>
  <w:style w:type="paragraph" w:styleId="Nadpis3">
    <w:name w:val="heading 3"/>
    <w:basedOn w:val="Normln"/>
    <w:next w:val="Normln"/>
    <w:qFormat/>
    <w:pPr>
      <w:keepNext/>
      <w:spacing w:line="218" w:lineRule="auto"/>
      <w:jc w:val="center"/>
      <w:outlineLvl w:val="2"/>
    </w:pPr>
    <w:rPr>
      <w:b/>
      <w:sz w:val="32"/>
    </w:rPr>
  </w:style>
  <w:style w:type="paragraph" w:styleId="Nadpis4">
    <w:name w:val="heading 4"/>
    <w:basedOn w:val="Normln"/>
    <w:next w:val="Normln"/>
    <w:qFormat/>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pPr>
      <w:keepNext/>
      <w:spacing w:before="360" w:line="218" w:lineRule="auto"/>
      <w:jc w:val="center"/>
      <w:outlineLvl w:val="6"/>
    </w:pPr>
    <w:rPr>
      <w:sz w:val="24"/>
    </w:rPr>
  </w:style>
  <w:style w:type="paragraph" w:styleId="Nadpis8">
    <w:name w:val="heading 8"/>
    <w:basedOn w:val="Normln"/>
    <w:next w:val="Normln"/>
    <w:qFormat/>
    <w:pPr>
      <w:keepNext/>
      <w:spacing w:line="312" w:lineRule="auto"/>
      <w:jc w:val="both"/>
      <w:outlineLvl w:val="7"/>
    </w:pPr>
    <w:rPr>
      <w:rFonts w:ascii="Arial" w:hAnsi="Arial" w:cs="Arial"/>
      <w:b/>
    </w:rPr>
  </w:style>
  <w:style w:type="paragraph" w:styleId="Nadpis9">
    <w:name w:val="heading 9"/>
    <w:basedOn w:val="Normln"/>
    <w:next w:val="Normln"/>
    <w:qFormat/>
    <w:pPr>
      <w:keepNext/>
      <w:tabs>
        <w:tab w:val="right" w:pos="6521"/>
      </w:tabs>
      <w:spacing w:line="218" w:lineRule="auto"/>
      <w:jc w:val="center"/>
      <w:outlineLvl w:val="8"/>
    </w:pPr>
    <w:rPr>
      <w:rFonts w:ascii="Arial" w:hAnsi="Arial" w:cs="Arial"/>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spacing w:line="218" w:lineRule="auto"/>
      <w:jc w:val="both"/>
    </w:pPr>
    <w:rPr>
      <w:sz w:val="24"/>
    </w:rPr>
  </w:style>
  <w:style w:type="paragraph" w:customStyle="1" w:styleId="Rychla">
    <w:name w:val="Rychlý a) "/>
    <w:basedOn w:val="Normln"/>
    <w:pPr>
      <w:ind w:left="720" w:hanging="720"/>
    </w:pPr>
    <w:rPr>
      <w:rFonts w:ascii="Times New Roman obyèejné" w:hAnsi="Times New Roman obyèejné"/>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Rozvrendokumentu">
    <w:name w:val="Document Map"/>
    <w:basedOn w:val="Normln"/>
    <w:semiHidden/>
    <w:pPr>
      <w:shd w:val="clear" w:color="auto" w:fill="000080"/>
    </w:pPr>
    <w:rPr>
      <w:rFonts w:ascii="Tahoma" w:hAnsi="Tahoma" w:cs="Tahoma"/>
    </w:rPr>
  </w:style>
  <w:style w:type="character" w:styleId="slostrnky">
    <w:name w:val="page number"/>
    <w:basedOn w:val="Standardnpsmoodstavce"/>
  </w:style>
  <w:style w:type="paragraph" w:styleId="Textvbloku">
    <w:name w:val="Block Text"/>
    <w:basedOn w:val="Normln"/>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pPr>
      <w:spacing w:before="840" w:line="312" w:lineRule="auto"/>
      <w:jc w:val="both"/>
    </w:pPr>
    <w:rPr>
      <w:rFonts w:ascii="Arial" w:hAnsi="Arial" w:cs="Arial"/>
      <w:b/>
    </w:rPr>
  </w:style>
  <w:style w:type="paragraph" w:styleId="Zkladntext3">
    <w:name w:val="Body Text 3"/>
    <w:basedOn w:val="Normln"/>
    <w:pPr>
      <w:tabs>
        <w:tab w:val="left" w:pos="2977"/>
        <w:tab w:val="left" w:pos="5245"/>
      </w:tabs>
      <w:spacing w:after="1080"/>
      <w:jc w:val="both"/>
    </w:pPr>
    <w:rPr>
      <w:rFonts w:ascii="Arial" w:hAnsi="Arial" w:cs="Arial"/>
    </w:rPr>
  </w:style>
  <w:style w:type="paragraph" w:styleId="Zkladntextodsazen">
    <w:name w:val="Body Text Indent"/>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Pr>
      <w:sz w:val="16"/>
      <w:szCs w:val="16"/>
    </w:rPr>
  </w:style>
  <w:style w:type="paragraph" w:styleId="Textkomente">
    <w:name w:val="annotation text"/>
    <w:basedOn w:val="Normln"/>
    <w:semiHidden/>
    <w:pPr>
      <w:overflowPunct/>
      <w:autoSpaceDE/>
      <w:autoSpaceDN/>
      <w:adjustRightInd/>
      <w:textAlignment w:val="auto"/>
    </w:pPr>
    <w:rPr>
      <w:lang w:val="cs-CZ"/>
    </w:rPr>
  </w:style>
  <w:style w:type="paragraph" w:customStyle="1" w:styleId="xl24">
    <w:name w:val="xl24"/>
    <w:basedOn w:val="Normln"/>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pPr>
      <w:tabs>
        <w:tab w:val="num" w:pos="1080"/>
      </w:tabs>
    </w:pPr>
  </w:style>
  <w:style w:type="paragraph" w:customStyle="1" w:styleId="Normln-angl">
    <w:name w:val="Normální - angl"/>
    <w:basedOn w:val="Normln"/>
    <w:pPr>
      <w:overflowPunct/>
      <w:autoSpaceDE/>
      <w:autoSpaceDN/>
      <w:adjustRightInd/>
      <w:spacing w:before="120" w:after="120"/>
      <w:jc w:val="both"/>
      <w:textAlignment w:val="auto"/>
    </w:pPr>
    <w:rPr>
      <w:sz w:val="24"/>
      <w:szCs w:val="24"/>
      <w:lang w:val="en-GB"/>
    </w:rPr>
  </w:style>
  <w:style w:type="paragraph" w:customStyle="1" w:styleId="102">
    <w:name w:val="10.2"/>
    <w:basedOn w:val="101"/>
    <w:pPr>
      <w:tabs>
        <w:tab w:val="clear" w:pos="1080"/>
      </w:tabs>
      <w:spacing w:line="360" w:lineRule="auto"/>
    </w:pPr>
  </w:style>
  <w:style w:type="paragraph" w:customStyle="1" w:styleId="103">
    <w:name w:val="10.3"/>
    <w:basedOn w:val="102"/>
    <w:pPr>
      <w:tabs>
        <w:tab w:val="num" w:pos="1004"/>
      </w:tabs>
      <w:ind w:left="567" w:hanging="283"/>
    </w:pPr>
  </w:style>
  <w:style w:type="paragraph" w:customStyle="1" w:styleId="Normang-1">
    <w:name w:val="Norm ang - ř. 1"/>
    <w:aliases w:val="5"/>
    <w:basedOn w:val="Normln"/>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 w:type="character" w:styleId="Hypertextovodkaz">
    <w:name w:val="Hyperlink"/>
    <w:basedOn w:val="Standardnpsmoodstavce"/>
    <w:rsid w:val="00337F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2414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2818</CharactersWithSpaces>
  <SharedDoc>false</SharedDoc>
  <HLinks>
    <vt:vector size="6" baseType="variant">
      <vt:variant>
        <vt:i4>7274534</vt:i4>
      </vt:variant>
      <vt:variant>
        <vt:i4>6</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2010-04-14T14:30:00Z</cp:lastPrinted>
  <dcterms:created xsi:type="dcterms:W3CDTF">2016-04-21T12:37:00Z</dcterms:created>
  <dcterms:modified xsi:type="dcterms:W3CDTF">2016-04-21T12:37:00Z</dcterms:modified>
</cp:coreProperties>
</file>